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371" w14:textId="77777777" w:rsidR="0007007C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ПОРЯДОК И УСЛОВИЯ ВНЕСЕНИЯ ПЛАТЕЖЕЙ ПО ДОГОВОРУ ЭНЕРГОСНАБЖЕНИЯ.</w:t>
      </w:r>
    </w:p>
    <w:p w14:paraId="5ED5846E" w14:textId="77777777" w:rsidR="0007007C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</w:p>
    <w:p w14:paraId="40465A82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</w:p>
    <w:p w14:paraId="660B124E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1. Расчеты за электрическую энергию, поданную Гарантирующим поставщиком Потребителю, и оказанные ему услуги производятся Потребителем ежемесячно, не позднее 10-го числа месяца, следующего за расчетным периодом.</w:t>
      </w:r>
    </w:p>
    <w:p w14:paraId="51CA1573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2. Расчетным периодом является 1 календарный месяц.</w:t>
      </w:r>
    </w:p>
    <w:p w14:paraId="50A5B1D2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3. При несвоевременной оплате электрической энергии Потребитель уплачивает в пользу Гарантирующего поставщика пени в соответствии с действующим законодательством.</w:t>
      </w:r>
    </w:p>
    <w:p w14:paraId="7FA3A558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4. Стоимость электрической энергии рассчитывается по тарифам, установленным в порядке, определенном </w:t>
      </w:r>
      <w:hyperlink r:id="rId4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законодательством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о государственном регулировании цен (тарифов). В случае установления надбавок к тарифам (ценам) стоимость электроэнергии рассчитывается с учетом таких надбавок.</w:t>
      </w:r>
    </w:p>
    <w:p w14:paraId="440B1BED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Стоимость электрической энергии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коллективный (общедомовой) прибор учета в многоквартирном доме или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позволяют осуществлять такого рода дифференцированные измерения объема коммунального ресурса.</w:t>
      </w:r>
    </w:p>
    <w:p w14:paraId="793B2FC8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В случае поставки Гарантирующим поставщиком электрической энергии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настоящим Договором и </w:t>
      </w:r>
      <w:hyperlink r:id="rId5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Правилами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предоставления коммунальных услуг.</w:t>
      </w:r>
    </w:p>
    <w:p w14:paraId="6EA4FFF1" w14:textId="6E2A8163" w:rsidR="0007007C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624AB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арантирующий поставщик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предоставляет потребителю возможность внесения платы за потребленную электрическую энергию в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>рассрочку, если начисленный потребителю размер платы за электрическую энергию в каком-либо расчетном периоде превысит более чем на 25 процентов размер платы за электрическую энергию, начисленную за аналогичный расчетный период прошлого года. Предоставление такой возможности осуществляется путем включения в платежный документ, предоставляемый Г</w:t>
      </w:r>
      <w:r>
        <w:rPr>
          <w:rFonts w:ascii="Times New Roman" w:hAnsi="Times New Roman"/>
          <w:sz w:val="28"/>
          <w:szCs w:val="28"/>
          <w:lang w:val="ru-RU"/>
        </w:rPr>
        <w:t>арантирующим поставщиком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потребителю, наряду с позицией, предусматривающей внесение платы за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электрическую энергию за расчетный период единовременно, позиций, предусматривающих возможность внесения потребителем платы в рассрочку в размере одной двенадцатой размера платы за электрическую энергию за истекший (истекшие) расчетный период, в котором (которых) возникло указанное превышение, и суммы процентов за пользование рассрочкой, которая подлежит внесению потребителем при оплате коммунальной услуги по этому платежному документу.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При расчете величины превышения размера платы за электрическую </w:t>
      </w:r>
      <w:r w:rsidRPr="00624ABB">
        <w:rPr>
          <w:rFonts w:ascii="Times New Roman" w:hAnsi="Times New Roman"/>
          <w:sz w:val="28"/>
          <w:szCs w:val="28"/>
          <w:lang w:val="ru-RU"/>
        </w:rPr>
        <w:lastRenderedPageBreak/>
        <w:t>энергию не учитывается величина превышения, возникшая вследствие увеличения в жилом помещении числа постоянно и временно проживающих потребителей.</w:t>
      </w:r>
    </w:p>
    <w:p w14:paraId="703BE679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44CAE">
        <w:rPr>
          <w:rFonts w:ascii="Times New Roman" w:hAnsi="Times New Roman"/>
          <w:sz w:val="28"/>
          <w:szCs w:val="28"/>
          <w:lang w:val="ru-RU"/>
        </w:rPr>
        <w:t>Способы оплаты без комиссии населением потребленной электроэнергии от ООО "ТЭС":</w:t>
      </w:r>
    </w:p>
    <w:p w14:paraId="450596D5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 xml:space="preserve">- Касса ООО "ТЭС". Время работы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пн-чт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13:00-16:00,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- выходной,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сб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- выходной, вс - выходной;</w:t>
      </w:r>
    </w:p>
    <w:p w14:paraId="0278525C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Отделения банка ПАО "Сбербанк";</w:t>
      </w:r>
    </w:p>
    <w:p w14:paraId="5CFC32E4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Отделения ФГУП "Почта России" Самарской области;</w:t>
      </w:r>
    </w:p>
    <w:p w14:paraId="523939C2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Интернет-банкинг или мобильное приложение ПАО "Сбербанк";</w:t>
      </w:r>
    </w:p>
    <w:p w14:paraId="7869ABA7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Терминалы ПАО "Сбербанк";</w:t>
      </w:r>
    </w:p>
    <w:p w14:paraId="08EB2041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Банкоматы ПАО "Сбербанк";</w:t>
      </w:r>
    </w:p>
    <w:p w14:paraId="6FB2AD8C" w14:textId="3F411762" w:rsidR="00944CAE" w:rsidRPr="00624ABB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Терминалы "QIWI".</w:t>
      </w:r>
    </w:p>
    <w:p w14:paraId="4AFBBD28" w14:textId="77777777" w:rsidR="001D40A6" w:rsidRPr="0007007C" w:rsidRDefault="001D40A6">
      <w:pPr>
        <w:rPr>
          <w:lang w:val="ru-RU"/>
        </w:rPr>
      </w:pPr>
    </w:p>
    <w:sectPr w:rsidR="001D40A6" w:rsidRPr="0007007C" w:rsidSect="000700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7C"/>
    <w:rsid w:val="0007007C"/>
    <w:rsid w:val="001D40A6"/>
    <w:rsid w:val="009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686"/>
  <w15:docId w15:val="{B52A9F40-361C-4009-A61B-CC8544C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7C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1ADA7666EE9E43F77E7B4E76404E4D7831A564916B48BC3ACB07C3BF1947C5BE89F44AE33F1CEkFQ7L" TargetMode="External"/><Relationship Id="rId4" Type="http://schemas.openxmlformats.org/officeDocument/2006/relationships/hyperlink" Target="consultantplus://offline/ref=CE01ADA7666EE9E43F77E7B4E76404E4D7831B554915B48BC3ACB07C3BkF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Сергей В. Мащенко</cp:lastModifiedBy>
  <cp:revision>2</cp:revision>
  <dcterms:created xsi:type="dcterms:W3CDTF">2013-03-25T12:01:00Z</dcterms:created>
  <dcterms:modified xsi:type="dcterms:W3CDTF">2022-08-01T09:53:00Z</dcterms:modified>
</cp:coreProperties>
</file>